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Projekt Programu  współpracy Gminy Odrzywół z organizacjami pozarządowymi oraz podmiotami</w:t>
      </w:r>
      <w:r w:rsidR="004A2D99"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, o których mowa w art. 3 ust. 3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 ustawy o działalności pożytku publiczneg</w:t>
      </w:r>
      <w:r w:rsidR="00D05984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</w:t>
      </w:r>
      <w:r w:rsidR="00D05984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br/>
        <w:t xml:space="preserve"> i o wolontariacie na rok 2017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A8556D" w:rsidRPr="004A2D99" w:rsidRDefault="00A8556D" w:rsidP="001F3B7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I.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 Postanowienia ogólne</w:t>
      </w:r>
    </w:p>
    <w:p w:rsidR="00A8556D" w:rsidRPr="004A2D99" w:rsidRDefault="00A8556D" w:rsidP="001F3B7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Ilekroć w niniejszym Programie mowa jest o: </w:t>
      </w:r>
    </w:p>
    <w:p w:rsidR="001E1A4C" w:rsidRDefault="00A8556D" w:rsidP="001E1A4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ustawie - należy przez to rozumieć Ustawę z dnia 24 kwietnia</w:t>
      </w:r>
      <w:r w:rsidR="001E1A4C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2003 r. o działalności pożytku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publicznego i o wolontariacie </w:t>
      </w:r>
      <w:r w:rsidR="001F3B72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(</w:t>
      </w:r>
      <w:r w:rsidR="001E1A4C" w:rsidRPr="001E1A4C">
        <w:rPr>
          <w:rFonts w:ascii="Times New Roman" w:hAnsi="Times New Roman" w:cs="Times New Roman"/>
          <w:sz w:val="22"/>
        </w:rPr>
        <w:t xml:space="preserve">Dz.U.2016r.  poz. 239 </w:t>
      </w:r>
      <w:r w:rsidR="00882B4A">
        <w:rPr>
          <w:rFonts w:ascii="Times New Roman" w:hAnsi="Times New Roman" w:cs="Times New Roman"/>
          <w:sz w:val="22"/>
        </w:rPr>
        <w:t xml:space="preserve"> i 395 </w:t>
      </w:r>
      <w:bookmarkStart w:id="0" w:name="_GoBack"/>
      <w:bookmarkEnd w:id="0"/>
      <w:r w:rsidR="001E1A4C" w:rsidRPr="001E1A4C">
        <w:rPr>
          <w:rFonts w:ascii="Times New Roman" w:hAnsi="Times New Roman" w:cs="Times New Roman"/>
          <w:sz w:val="22"/>
        </w:rPr>
        <w:t xml:space="preserve">z </w:t>
      </w:r>
      <w:proofErr w:type="spellStart"/>
      <w:r w:rsidR="001E1A4C" w:rsidRPr="001E1A4C">
        <w:rPr>
          <w:rFonts w:ascii="Times New Roman" w:hAnsi="Times New Roman" w:cs="Times New Roman"/>
          <w:sz w:val="22"/>
        </w:rPr>
        <w:t>późn</w:t>
      </w:r>
      <w:proofErr w:type="spellEnd"/>
      <w:r w:rsidR="001E1A4C" w:rsidRPr="001E1A4C">
        <w:rPr>
          <w:rFonts w:ascii="Times New Roman" w:hAnsi="Times New Roman" w:cs="Times New Roman"/>
          <w:sz w:val="22"/>
        </w:rPr>
        <w:t>. zm.)</w:t>
      </w:r>
    </w:p>
    <w:p w:rsidR="00A8556D" w:rsidRPr="004A2D99" w:rsidRDefault="00A8556D" w:rsidP="001F3B7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 wójcie – należy przez to rozumieć Wójta Gminy Odrzywół </w:t>
      </w:r>
    </w:p>
    <w:p w:rsidR="00A8556D" w:rsidRPr="004A2D99" w:rsidRDefault="00A8556D" w:rsidP="001F3B7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3)  gminie- należy przez to rozumieć Gminę Odrzywół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4) organizacji pozarządowej - należy przez to rozumieć organizacje pozarządowe, jak również podmio</w:t>
      </w:r>
      <w:r w:rsidR="001F3B72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ty, o których mowa w art.3 ust.3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ustawy,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programie - należy przez to rozumieć </w:t>
      </w:r>
      <w:r w:rsidRPr="004A2D99"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  <w:t>„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Program współpracy Gminy Odrzywół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organizacjami pozarządowymi oraz podm</w:t>
      </w:r>
      <w:r w:rsidR="001F3B72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iotami, o których mowa w art. 3 ust. 3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ustawy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dnia 24 kwietnia 2003 r. o działalności pożytku publicznego i o wolontar</w:t>
      </w:r>
      <w:r w:rsidR="00326AAC">
        <w:rPr>
          <w:rFonts w:ascii="Times New Roman" w:eastAsia="Times New Roman" w:hAnsi="Times New Roman" w:cs="Times New Roman"/>
          <w:color w:val="000000"/>
          <w:sz w:val="22"/>
          <w:lang w:eastAsia="pl-PL"/>
        </w:rPr>
        <w:t>iacie na 2017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rok.”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II.  Cele programu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1.Celem głównym Programu jest budowanie partnerstwa pomiędzy gminą Odrzywół,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a organizacjami pozarządowymi i innymi podmiotami, służącemu rozpoznawaniu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>i zaspokajaniu potrzeb mieszkańców oraz wzmacnianiu roli aktywności obywatelskiej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w rozwiązywaniu problemów lokalnych.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2.Celami szczegółowymi Programu są: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poprawa jakości życia poprzez pełniejsze zaspokojenie potrzeb mieszkańców gminy,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racjonalne wykorzystanie środków finansowych,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integracja organizacji lokalnych obejmujących zakresem działania sferę zadań publicznych,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otwarcie na innowacyjność i konkurencyjność w wykonywaniu zadań publicznych,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promowanie i wzmacnianie postaw obywatelskich,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wzmocnienie potencjału organizacji pozarządowych i rozwój wolontariatu,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poprawa jakości usług publicznych i zapewnienie ich efektywniejszego wykonania,</w:t>
      </w:r>
    </w:p>
    <w:p w:rsidR="00A8556D" w:rsidRPr="004A2D9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umocnienie w świadomości społecznej poczucia odpowiedzialności za siebie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>i swoje otoczenie.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sz w:val="22"/>
          <w:lang w:eastAsia="pl-PL"/>
        </w:rPr>
        <w:t>III.  Realizatorzy programu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1. Realizatorami programu są w szczególności: 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1) Rada Gminy w  Odrzywole i jej Komisje, w zakresie wytyczania polityki społecznej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i finansowej gminy,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2) Wójt Gminy Odrzywół, w zakresie realizacji polityki społecznej i finansowej gminy, wytyczonej przez Radę Gminy Odrzywół oraz przeprowadzania otwartego konkursu ofert na realizację zadań publicznych,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3) Komisja Konkursowa w zakresie opiniowania ofert złożonych w otwartych konkursach ofert na realizację zadań zleconych przez gminę organizacjom pozarządowym,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4) Pracownik Urzędu Gminy, do którego obowiązków, zgodnie z regulaminem organizacyjnym Urzędu należy współpraca z organizacjami pozarządowymi, przede wszystkim w zakresie organizowania i koordynowania bieżących kontaktów pomiędzy gminą i organizacjami pozarządowymi,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6) pracownicy poszczególnych wydziałów oraz samodzielnych stanowisk pracy Urzędu Gminy w Odrzywole, a także kierownicy jednostek organizacyjnych gminy wraz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z podległymi im pracownikami, w zakresie bieżącej współpracy z organizacjami pozarządowymi w ramach swoich kompetencji określonych regulaminowo lub statutowo.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IV. Zakres przedmiotowy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1.Przedmiotem współpracy władz gminy z organizacjami pozarządowymi jest: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1) realizacja zadań gminy określonych w ustawach,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2) podwyższanie efektywności działań kierowanych do mieszkańców gminy,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3) tworzenie systemowych rozwiązań ważnych problemów społecznych,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4) określanie potrzeb społecznych i sposobu ich zaspokajania.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V. Zasady Współpracy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1. Współpraca realizowana jest na podstawie oraz zgodnie z obowiązującymi przepisami prawa z organizacjami pozarządowymi, prowadzącymi działalność na terenie gminy lub powiatu na rzecz ich mieszkańców w oparciu o następujące zasady: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1) pomocniczości - powierzenie przez gminę organizacjom pozarządowym realizacji zadań własnych oraz zapewnienie przez organizację ich wykonania w sposób ekonomiczny, profesjonalny i terminowy,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2) jawności - wszystkie możliwości współpracy gminy z organizacjami pozarządowymi 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są powszechnie wiadome i dostępne oraz jasne  i zrozumiałe 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zakresie stosowanych procedur i kryteriów podejmowania decyzji,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3)  partnerstwa - dobrowolna współpraca równorzędnych dla siebie podmiotów 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rozwiązywaniu wspólnie zdefiniowanych problemów  i osiąganiu razem wytyczonych celów,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4) suwerenności stron - posiadanie przez partnerów współpracy zdolności do bycia podmiotem praw i obowiązków poprzez niezależne wykonywanie swoich zadań oraz swobodę w przekazywaniu tych kompetencji innym podmiotom,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5) efektywności - wspólne dążenie do osiągnięcia możliwie najlepszych efektów realizacji zadań publicznych,</w:t>
      </w:r>
    </w:p>
    <w:p w:rsidR="00A8556D" w:rsidRPr="004A2D9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lastRenderedPageBreak/>
        <w:t>6) uczciwej konkurencji - równy dostęp do informacji w zakresie wykonywanych działań zarówno przez podmioty publiczne jak  i niepubliczne oraz stosowanie tych samych kryteriów przy dokonywaniu oceny tych działań i podejmowaniu decyzji odnośnie ich finansowania.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VI. Formy współpracy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realizuje zadania publiczne we współpracy z podmiotami prowadzącymi działalność pożytku publicznego w szczególności w następujących formach: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zlecania podmiotom prowadzącym działalność pożytku publicznego realizacji zadań publicznych na zasadach określonych w ustawie, w formach: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a) powierzania wykonywania zadań publicznych wraz z udzieleniem dotacji na finansowanie  ich realizacji,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powierzania wykonywania zadań publicznych w szczególności poprzez zakup usług na zasadach i w trybie określonych w przepisach o zamówieniach publicznych, przy porównywalności metod kalkulacji kosztów oraz porównywalności opodatkowania.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c) wspierania takich zadań wraz z udzieleniem dotacji na dofinansowanie ich realizacji,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2) wzajemnego informowania się o planowanych kierunkach działalności współdziałania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celu ich zharmonizowania, </w:t>
      </w:r>
    </w:p>
    <w:p w:rsid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tworzenia w miarę potrzeb przez organy gminy wspólnych zespołów o charakterze </w:t>
      </w:r>
      <w:r w:rsidR="000A388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doradczym i inicjatywnym, a także określania przedmiotu ich działania, </w:t>
      </w:r>
    </w:p>
    <w:p w:rsid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4A2D99" w:rsidRPr="004A2D99" w:rsidRDefault="004A2D99" w:rsidP="004A2D99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4) współpracy i udzielania pomocy w zakresie pozyskiwania środków finansowych z innych źródeł – szczególnie ze środków Unii Europejskiej, poprzez informowanie organizacji pozarządowych, udzielania pomocy na wniosek zainteresowanej organizacji i podmiotu w zakresie wypełniania wniosków,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promocji działalności organizacji pozarządowych poprzez zamieszczanie lub przekazywanie na wniosek organizacji lub podmiotu informacji dotyczących nowych inicjatyw realizowanych przez organizacje pozarządowe na stronie internetowej gminy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pomocy w nawiązaniu przez organizacje pozarządowe kontaktów ponadgminnych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międzynarodowych poprzez udzielanie rekomendacji organizacjom i podmiotom starającym się</w:t>
      </w:r>
      <w:r w:rsid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o nawiązanie wyżej wymienionych kontaktów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poradnictwa i pomocy w organizowaniu szkoleń podnoszących profesjonalizm działalności organizacji pozarządowych,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8) udostępniania nieodpłatnie organizacjom pozarządowym pomieszczeń w budynkach stanowiących własność gminy, w celu realizacji zadań statutowych,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VII. Priorytetowe zadania publiczne</w:t>
      </w:r>
    </w:p>
    <w:p w:rsidR="00A8556D" w:rsidRPr="004A2D99" w:rsidRDefault="00A8556D" w:rsidP="00A8556D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1. Priorytetowe zadania publiczne do realiz</w:t>
      </w:r>
      <w:r w:rsidR="00326AAC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acji przez Gminę Odrzywół w 2017</w:t>
      </w:r>
      <w:r w:rsidRPr="004A2D99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 xml:space="preserve"> r. to: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upowszechnianie kultury fizycznej i sportu ze szczególnym uwzględnieniem: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organizacji i koordynacji przedsięwzięć sportowych, sportowo-rekreacyjnych oraz innych form aktywnego wypoczynku o zasięgu gminnym, skierowanych przede wszystkim do dzieci i młodzieży z terenu gminy,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uczestnictwa w imprezach sportowych i sportowo-rekreacyjnych o charakterze  gminnym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ponadgminnym,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c) wspierania szkolenia sportowego, organizowanie zawodów sportowych,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d) wspierania rozwoju uzdolnie</w:t>
      </w:r>
      <w:r w:rsidRPr="004A2D99"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dzieci i m</w:t>
      </w:r>
      <w:r w:rsidRPr="004A2D99">
        <w:rPr>
          <w:rFonts w:ascii="Times New Roman" w:eastAsia="TimesNewRoman" w:hAnsi="Times New Roman" w:cs="Times New Roman"/>
          <w:color w:val="000000"/>
          <w:sz w:val="22"/>
          <w:lang w:eastAsia="pl-PL"/>
        </w:rPr>
        <w:t>ł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odzie</w:t>
      </w:r>
      <w:r w:rsidRPr="004A2D99">
        <w:rPr>
          <w:rFonts w:ascii="Times New Roman" w:eastAsia="TimesNewRoman" w:hAnsi="Times New Roman" w:cs="Times New Roman"/>
          <w:color w:val="000000"/>
          <w:sz w:val="22"/>
          <w:lang w:eastAsia="pl-PL"/>
        </w:rPr>
        <w:t>ż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y szczególnie utalentowanej,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ochrona i promocją zdrowia,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pomoc społeczna w tym pomocą rodzinom i osobom w trudnej sytuacji życiowej oraz wyrównywaniem szans tych rodzin i osób,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kultura, sztuka, ochrona dóbr kultury i sztuki, w tym: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a) wydawanie publikacji w postaci drukowanej lub innych technik zapisu obrazu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 dźwięku służących upowszechnianiu historii, tradycji i kultury gminy,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edukacji kulturalnej i wychowanie przez sztukę dzieci i młodzieży z terenu gminy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podtrzymywanie  i upowszechnianie tradycji narodowej, pielęgnowanie polskości oraz rozwoju świadomości narodowej, obywatelskiej i kulturowej w szczególności: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wspieranie organizacji imprez kulturalnych;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b)  wspieranie inicjatyw mających na celu upowszechnianie, p</w:t>
      </w:r>
      <w:r w:rsid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romocję ,popularyzację lokalnej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twórczości i twórców; rozwoju dziedzictwa kulturowego regionu;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c)  wspieranie inicjatyw mających na celu wzbogacenie oferty z zakresu edukacji kulturalnej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artystycznej mieszkańców Gminy – dzieci, młodzieży i dorosłych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d) wspieranie działalności w zakresie upowszechniania historii i tradycji Gminy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e) wspieranie inicjatyw mających na celu podtrzymywanie tradycji narodowej oraz przekazywanie </w:t>
      </w:r>
      <w:r w:rsid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i upowszechnianie treści patriotycznych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działalność w zakresie nauki, edukacji, oświaty i wychowania,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działalność wspomagającą rozwój wspólnot i społeczności lokalnych,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8) organizacja wypoczynku dzieci i młodzieży,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9) przeciwdziałanie uzależnieniom i patologiom społecznym, w tym: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prowadzenie świetlicy środowiskowej i socjoterapeutycznej dla młodzieży z Gminy Odrzywół;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10) działalność na rzecz organizacji pozarządowych w tym w szczególności:</w:t>
      </w:r>
    </w:p>
    <w:p w:rsidR="00A8556D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organizacja szkoleń, warsztatów i spotkań organizacji pozarządowych;</w:t>
      </w:r>
    </w:p>
    <w:p w:rsidR="00D05984" w:rsidRPr="00D05984" w:rsidRDefault="00D05984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D05984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11) Realizacja zadań inwestycyjnych z zakresu rozwoju turystyki i sportu, zachowania dziedzictwa kulturalnego wsi i kształtowanie przestrzeni publicznych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2. W przypadku stwierdzenia wyst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pienia potrzeb lokalnych, na wniosek organizacji Rada Gminy Odrzywół w drodze uchwały może  wskaza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inne 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ż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lone w ust. 1. zadania, które wymagaj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realizacji, w celu ich zlecenia organizacjom na zasadach 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lonych w ustawie lub odr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bnych przepisach.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VIII.  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Okres realizacji programu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A8556D" w:rsidRPr="004A2D99" w:rsidRDefault="00A8556D" w:rsidP="00A8556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1. Niniejszy Program realizowany będzie w okresie od 1 styc</w:t>
      </w:r>
      <w:r w:rsidR="00326AAC">
        <w:rPr>
          <w:rFonts w:ascii="Times New Roman" w:eastAsia="Times New Roman" w:hAnsi="Times New Roman" w:cs="Times New Roman"/>
          <w:bCs/>
          <w:sz w:val="22"/>
          <w:lang w:eastAsia="pl-PL"/>
        </w:rPr>
        <w:t>znia 2017</w:t>
      </w: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 do 31 </w:t>
      </w:r>
      <w:r w:rsidR="00326AAC">
        <w:rPr>
          <w:rFonts w:ascii="Times New Roman" w:eastAsia="Times New Roman" w:hAnsi="Times New Roman" w:cs="Times New Roman"/>
          <w:bCs/>
          <w:sz w:val="22"/>
          <w:lang w:eastAsia="pl-PL"/>
        </w:rPr>
        <w:t>grudnia</w:t>
      </w:r>
      <w:r w:rsidR="00326AAC">
        <w:rPr>
          <w:rFonts w:ascii="Times New Roman" w:eastAsia="Times New Roman" w:hAnsi="Times New Roman" w:cs="Times New Roman"/>
          <w:bCs/>
          <w:sz w:val="22"/>
          <w:lang w:eastAsia="pl-PL"/>
        </w:rPr>
        <w:br/>
        <w:t xml:space="preserve"> 2017</w:t>
      </w: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  z zastrzeżeniem ust. 2.</w:t>
      </w:r>
    </w:p>
    <w:p w:rsidR="00A8556D" w:rsidRPr="004A2D99" w:rsidRDefault="00A8556D" w:rsidP="00A8556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2. Szczegółowy termin realizacji poszczególnych zadań określony będzie w  warunkach konkursu ofert ogłoszonym przez Wójta Gminy</w:t>
      </w:r>
      <w:r w:rsidR="00326AAC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w 2017</w:t>
      </w: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IX. Wysokość środków przeznaczonych na realizację programu</w:t>
      </w:r>
    </w:p>
    <w:p w:rsidR="00A8556D" w:rsidRPr="004A2D99" w:rsidRDefault="00A8556D" w:rsidP="00A8556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hAnsi="Times New Roman" w:cs="Times New Roman"/>
          <w:sz w:val="22"/>
        </w:rPr>
        <w:t xml:space="preserve">Wysokość środków finansowych przeznaczonych na finansowanie programu współpracy </w:t>
      </w:r>
      <w:r w:rsidR="005B3DB6" w:rsidRPr="004A2D99">
        <w:rPr>
          <w:rFonts w:ascii="Times New Roman" w:hAnsi="Times New Roman" w:cs="Times New Roman"/>
          <w:sz w:val="22"/>
        </w:rPr>
        <w:br/>
      </w:r>
      <w:r w:rsidRPr="004A2D99">
        <w:rPr>
          <w:rFonts w:ascii="Times New Roman" w:hAnsi="Times New Roman" w:cs="Times New Roman"/>
          <w:sz w:val="22"/>
        </w:rPr>
        <w:t>z organizacjami pozarządowymi o</w:t>
      </w:r>
      <w:r w:rsidR="00326AAC">
        <w:rPr>
          <w:rFonts w:ascii="Times New Roman" w:hAnsi="Times New Roman" w:cs="Times New Roman"/>
          <w:sz w:val="22"/>
        </w:rPr>
        <w:t>kreśla uchwała budżetowa na 2017</w:t>
      </w:r>
      <w:r w:rsidRPr="004A2D99">
        <w:rPr>
          <w:rFonts w:ascii="Times New Roman" w:hAnsi="Times New Roman" w:cs="Times New Roman"/>
          <w:sz w:val="22"/>
        </w:rPr>
        <w:t xml:space="preserve"> rok.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X. Sposób realizacji programu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1. Współpraca Gminy Odrzywół z organizacjami w ramach Programu obejmuje działania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o charakterze finansowym i pozafinansowym.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2. Zlecanie realizacji zadań publicznych odbywa się zgodnie z przepisami ustawy z dnia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24 kwietnia 2003 r.  o działalności pożytku publicznego i o wolontariacie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3. Szczegółowy wykaz zadań, o których mowa w ust.1 Wójt opublikuje każdorazowo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przypadku ogłoszenia konkursu w: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na stronie internetowej Biuletynu Informacji Publicznej: www.bip.odrzywol.akcessnet.net,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>2) na stronie internetowej Urzędu Gminy: www.odrzywol.eu</w:t>
      </w:r>
    </w:p>
    <w:p w:rsidR="00A8556D" w:rsidRPr="004A2D99" w:rsidRDefault="00A8556D" w:rsidP="00A8556D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4. Termin składania ofert nie może być krótszy niż 21 dni od dnia ukazania się ostatniego ogłoszenia,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5. Konkurs ofert przeprowadza Wójt Gminy, do oceny ofert zostanie powołana Komisja Konkursowa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6. Skład Komisji Konkursowej oraz regulamin jej pracy Wójt określa odrębnym zarządzeniem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7.Ostateczną decyzję o przyznaniu dotacji podejmuje Wójt Gminy Odrzywół.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8. Wyniki konkursu s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publikowane w Biuletynie Informacji Publicznej Gminy Odrzywół,  na stronie internetowej Gminy Odrzywół  oraz na tablicy ogłosze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 siedzibie Urzędu Gminy Odrzywół.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9. Po ogłoszeniu wyników otwartego konkursu ofert Gmina Odrzywół zawiera umowę o powierzenie lub wsparcie realizacji zadania publicznego z organizacją wyłonioną w trakcie konkursu.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10. Wójt Gminy Odrzywół na podstawie własnego rozeznania potrzeb lokalnych lub na wniosek podmiotów prowadzących działalność pożytku publicznego może w ciągu roku określić kolejne zadania i ogłosić otwarte konkursy na ich realizację przez podmioty prowadzące działalność pożytku publicznego. Powyższe działania realizowane są w ramach przeznaczonych na ten cel środków budżetowych.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11. Dotacje nie mogą być udzielone na: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dotowanie przedsięwzięć, które są dofinansowywane z budżetu gminy lub jego funduszy celowych na podstawie przepisów szczególnych,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pokrycie deficytu zrealizowanych wcześniej przedsięwzięć oraz refundację kosztów,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budowę, zakup budynków lub lokali, zakup gruntów,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4) udzielanie pomocy finansowej osobom fizycznym lub prawnym,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działalność polityczną i religijną.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12. Wójt Gminy  mo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ż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e zleci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organizacji realizacj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konkursu publicznego –na wniosek tej organizacji – z pomini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ciem otwartego konkursu ofert. Szczegółowe warunki oraz tryb przyznawania dofinansowania 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la art. 19a ustawy.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13. Realizując zlecane przez gminę zadania publiczne podmioty prowadzące działalność pożytku publicznego są zobowiązane: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informować z wyprzedzeniem odpowiednie komórki organizacyjne Urzędu Gminy wyznaczone do kontroli merytorycznej i finansowej o organizacji imprez odbywających się w ramach zadania,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informować odbiorców zadania o fakcie dofinansowania jego realizacji z budżetu Gminy Odrzywół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XI.  Sposób oceny realizacji programu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w trakcie wykonywania zadania przez Organizacje Pozarządowe sprawuje kontrolę prawidłowości wykonywania zadania, w tym wydatkowania przekazanych na realizację celu środków finansowych.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2. W ramach kontroli upoważniony pracownik Urzędu Gminy Odrzywół może badać dokumenty,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kontrolować sposób wykonywania zadania (czyli wizytować zajęcia, zawody, spotkania itp.)</w:t>
      </w:r>
      <w:r w:rsidRPr="004A2D99">
        <w:rPr>
          <w:rFonts w:ascii="Times New Roman" w:eastAsia="Times New Roman" w:hAnsi="Times New Roman" w:cs="Times New Roman"/>
          <w:color w:val="FF000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 inne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3. Urząd Gminy Odrzywół może żądać częściowych sprawozdań z wykonywanych zadań.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4.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Wójt Gminy Odrzywół nie później niż do dnia 30 kwietnia każdego roku, przedłoży organowi stanowiącemu jednostki samorządu terytorialnego sprawozdanie z realizacji programu współpracy za rok poprzedni.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sz w:val="22"/>
          <w:lang w:eastAsia="pl-PL"/>
        </w:rPr>
        <w:t>XII. Sposób tworzenia programu oraz przebieg konsultacji</w:t>
      </w:r>
    </w:p>
    <w:p w:rsidR="00A8556D" w:rsidRPr="004A2D99" w:rsidRDefault="00A8556D" w:rsidP="00A8556D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A8556D" w:rsidRPr="004A2D99" w:rsidRDefault="00A8556D" w:rsidP="00A8556D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Roczny program współpracy z organizacjami został opracowany po konsultacjach przeprowadzonych w sposób określony w uchwale Nr VII/47/2011 z </w:t>
      </w:r>
      <w:proofErr w:type="spellStart"/>
      <w:r w:rsidRPr="004A2D99">
        <w:rPr>
          <w:rFonts w:ascii="Times New Roman" w:eastAsia="Times New Roman" w:hAnsi="Times New Roman" w:cs="Times New Roman"/>
          <w:sz w:val="22"/>
          <w:lang w:eastAsia="pl-PL"/>
        </w:rPr>
        <w:t>późn</w:t>
      </w:r>
      <w:proofErr w:type="spellEnd"/>
      <w:r w:rsidRPr="004A2D99">
        <w:rPr>
          <w:rFonts w:ascii="Times New Roman" w:eastAsia="Times New Roman" w:hAnsi="Times New Roman" w:cs="Times New Roman"/>
          <w:sz w:val="22"/>
          <w:lang w:eastAsia="pl-PL"/>
        </w:rPr>
        <w:t>. zm. Rady Gminy Odrzywół z dnia 28 września 2011 roku w sprawie szczegółowego sposobu konsultowania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organizacjami pozarządowymi oraz podmiotami, o których mowa w art. 3 ust. 3 ustawy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dnia 24 kwietnia 2003 r. o działalności pożytku publicznego i wolontariacie projektów aktów prawa miejscowego w dziedzinach dotyczących działalności statutowej tych organizacji.</w:t>
      </w:r>
    </w:p>
    <w:p w:rsidR="00A8556D" w:rsidRPr="004A2D99" w:rsidRDefault="00A8556D" w:rsidP="00A8556D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Projekt Programu współpracy gminy Odrzywół z organizacjami pozarządowymi, celem uzyskania ewentualnych uwag i propozycji został zamieszczony na okres o</w:t>
      </w:r>
      <w:r w:rsidR="000C0AB6"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d </w:t>
      </w:r>
      <w:r w:rsidR="000C0AB6" w:rsidRPr="004A2D99">
        <w:rPr>
          <w:rFonts w:ascii="Times New Roman" w:eastAsia="Times New Roman" w:hAnsi="Times New Roman" w:cs="Times New Roman"/>
          <w:sz w:val="22"/>
          <w:lang w:eastAsia="pl-PL"/>
        </w:rPr>
        <w:br/>
      </w:r>
      <w:r w:rsidR="00326AAC">
        <w:rPr>
          <w:rFonts w:ascii="Times New Roman" w:eastAsia="Times New Roman" w:hAnsi="Times New Roman" w:cs="Times New Roman"/>
          <w:sz w:val="22"/>
          <w:lang w:eastAsia="pl-PL"/>
        </w:rPr>
        <w:t xml:space="preserve">07.11.2016 </w:t>
      </w:r>
      <w:r w:rsidR="0032539E" w:rsidRPr="0032539E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32539E">
        <w:rPr>
          <w:rFonts w:ascii="Times New Roman" w:eastAsia="Times New Roman" w:hAnsi="Times New Roman" w:cs="Times New Roman"/>
          <w:sz w:val="22"/>
          <w:lang w:eastAsia="pl-PL"/>
        </w:rPr>
        <w:t>r.</w:t>
      </w:r>
      <w:r w:rsidR="0032539E" w:rsidRPr="0032539E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326AAC">
        <w:rPr>
          <w:rFonts w:ascii="Times New Roman" w:eastAsia="Times New Roman" w:hAnsi="Times New Roman" w:cs="Times New Roman"/>
          <w:sz w:val="22"/>
          <w:lang w:eastAsia="pl-PL"/>
        </w:rPr>
        <w:t>do 21</w:t>
      </w:r>
      <w:r w:rsidR="00E611B4">
        <w:rPr>
          <w:rFonts w:ascii="Times New Roman" w:eastAsia="Times New Roman" w:hAnsi="Times New Roman" w:cs="Times New Roman"/>
          <w:sz w:val="22"/>
          <w:lang w:eastAsia="pl-PL"/>
        </w:rPr>
        <w:t>.11.2016</w:t>
      </w:r>
      <w:r w:rsidR="0032539E">
        <w:rPr>
          <w:rFonts w:ascii="Times New Roman" w:eastAsia="Times New Roman" w:hAnsi="Times New Roman" w:cs="Times New Roman"/>
          <w:sz w:val="22"/>
          <w:lang w:eastAsia="pl-PL"/>
        </w:rPr>
        <w:t xml:space="preserve"> r. do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na stronie internetowej Urzędu Gminy Odrzywół oraz  na stronie BIP Odrzywół. Organizacje pozarządowe wypełniając formularz zgłaszania opinii mogły zgłaszać uwagi i opinie co do projektu programu współpracy. 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XIII .Tryb powoływania i zasady działania Komisji Konkursowych do opiniowania ofert w otwartych konkursach ofert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1.Oferty złożone przez organizacje opiniuje specjalnie do tego powołana komisja konkursowa,</w:t>
      </w:r>
      <w:r w:rsidR="004A2D99">
        <w:rPr>
          <w:rFonts w:ascii="Times New Roman" w:eastAsia="Times New Roman" w:hAnsi="Times New Roman" w:cs="Times New Roman"/>
          <w:iCs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w skład której wchodzą przedstawiciele Wójta Gminy oraz osoby reprezentujące organizacje pozarządowe.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2.W pracach komisji konkursowej mog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bra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udzia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ł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z g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ł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osem doradczym osoby, posiadaj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ce do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wiadczenie w realizacji zada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d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cych przedmiotem konkursu.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3.Skład komisji konkursowych i regulamin jej pracy publikowany jest na stronie internetowej gminy:</w:t>
      </w:r>
      <w:r w:rsidRPr="004A2D99"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sz w:val="22"/>
        </w:rPr>
        <w:t>www.</w:t>
      </w:r>
      <w:r w:rsidRPr="004A2D99">
        <w:rPr>
          <w:rFonts w:ascii="Times New Roman" w:eastAsia="Times New Roman" w:hAnsi="Times New Roman" w:cs="Times New Roman"/>
          <w:bCs/>
          <w:sz w:val="22"/>
        </w:rPr>
        <w:t>odrzywol.eu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.</w:t>
      </w:r>
      <w:r w:rsidRPr="004A2D99"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 oraz na stronie internetowej Biuletynu Informacji Publicznej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w Odrzywole: </w:t>
      </w:r>
      <w:r w:rsidRPr="004A2D99">
        <w:rPr>
          <w:rFonts w:ascii="Times New Roman" w:eastAsia="Times New Roman" w:hAnsi="Times New Roman" w:cs="Times New Roman"/>
          <w:bCs/>
          <w:sz w:val="22"/>
        </w:rPr>
        <w:t>www.bip.odrzywol.akcessnet.net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4.Prace komisji konkursowej mog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by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prowadzone w sk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ł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adzie co najmniej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4 osobowym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5. Pracami komisji konkursowej kieruje przewodnicz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6. Komisja obraduje na posiedzeniach zamkni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tych, bez udziału oferentów. Termin i miejsce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posiedzenia komisji 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la przewodnicz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lastRenderedPageBreak/>
        <w:t>7. Komisja podejmuje rozstrzygni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cia w głosowaniu jawnym, zwykł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kszo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głosów,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w obecno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 co najmniej połowy pełnego składu osobowego. W przypadku równej liczby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głosów decyduje głos przewodnicz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cego.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8. Uczestnictwo w pracach komisji konkursowej jest nieodpłatne.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9. Do zada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komisji konkursowej nale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ż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y w szczególno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ci: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a) merytoryczna ocena ofert spełniaj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cych wymagania formalne,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b) propozycja podziału 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rodków finansowych na poszczególne oferty.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10. Komisja konkursowa dokonuje oceny merytorycznej na formularzu „Karta oceny oferty”.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11. Z prac komisji konkursowej sporz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dza si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protokół.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12. Komisja konkursowa przedstawia Wójtowi Gminy propozycje podziału 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rodków finansowych na realizacj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zada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publicznych.</w:t>
      </w: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XIV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Postanowienie końcowe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1.Zmiany niniejszego Programu wymagają formy przyjętej dla jego uchwalenia.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2.Wójt Gminy  w terminie do dnia  </w:t>
      </w:r>
      <w:r w:rsidR="00326AAC">
        <w:rPr>
          <w:rFonts w:ascii="Times New Roman" w:eastAsia="Times New Roman" w:hAnsi="Times New Roman" w:cs="Times New Roman"/>
          <w:iCs/>
          <w:sz w:val="22"/>
          <w:lang w:eastAsia="pl-PL"/>
        </w:rPr>
        <w:t>30 kwietnia 2018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roku przedłoży Radzie Gminy sprawozdanie z realizacji Programu. </w:t>
      </w:r>
    </w:p>
    <w:p w:rsidR="00A8556D" w:rsidRPr="004A2D9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3.Sprawozdanie opublikowane będzie na stronie internetowej gminy: </w:t>
      </w:r>
      <w:r w:rsidRPr="004A2D99">
        <w:rPr>
          <w:rFonts w:ascii="Times New Roman" w:eastAsia="Times New Roman" w:hAnsi="Times New Roman" w:cs="Times New Roman"/>
          <w:sz w:val="22"/>
        </w:rPr>
        <w:t>www.odrzywol.eu</w:t>
      </w:r>
      <w:r w:rsidRPr="004A2D99"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 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oraz na stronie internetowej BIP:  www.</w:t>
      </w:r>
      <w:r w:rsidRPr="004A2D99">
        <w:rPr>
          <w:rFonts w:ascii="Times New Roman" w:eastAsia="Times New Roman" w:hAnsi="Times New Roman" w:cs="Times New Roman"/>
          <w:bCs/>
          <w:sz w:val="22"/>
        </w:rPr>
        <w:t>bip.odrzywol.akcessnet.net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:rsidR="00A8556D" w:rsidRPr="004A2D99" w:rsidRDefault="00A8556D" w:rsidP="00A8556D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A8556D" w:rsidRPr="004A2D99" w:rsidRDefault="00A8556D" w:rsidP="00A8556D">
      <w:pPr>
        <w:tabs>
          <w:tab w:val="left" w:pos="6015"/>
        </w:tabs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</w:t>
      </w:r>
    </w:p>
    <w:p w:rsidR="00A8556D" w:rsidRPr="004A2D99" w:rsidRDefault="00A8556D" w:rsidP="00A8556D">
      <w:pPr>
        <w:rPr>
          <w:rFonts w:ascii="Times New Roman" w:hAnsi="Times New Roman" w:cs="Times New Roman"/>
          <w:sz w:val="22"/>
        </w:rPr>
      </w:pPr>
    </w:p>
    <w:p w:rsidR="00A8556D" w:rsidRPr="004A2D99" w:rsidRDefault="00A8556D" w:rsidP="00A8556D">
      <w:pPr>
        <w:rPr>
          <w:rFonts w:ascii="Times New Roman" w:hAnsi="Times New Roman" w:cs="Times New Roman"/>
          <w:sz w:val="22"/>
        </w:rPr>
      </w:pPr>
    </w:p>
    <w:p w:rsidR="00A8556D" w:rsidRPr="004A2D99" w:rsidRDefault="00A8556D" w:rsidP="00A8556D">
      <w:pPr>
        <w:rPr>
          <w:rFonts w:ascii="Times New Roman" w:hAnsi="Times New Roman" w:cs="Times New Roman"/>
          <w:sz w:val="22"/>
        </w:rPr>
      </w:pPr>
    </w:p>
    <w:p w:rsidR="00A8556D" w:rsidRPr="004A2D99" w:rsidRDefault="00A8556D" w:rsidP="00A8556D">
      <w:pPr>
        <w:tabs>
          <w:tab w:val="left" w:pos="2700"/>
        </w:tabs>
        <w:rPr>
          <w:rFonts w:ascii="Times New Roman" w:hAnsi="Times New Roman" w:cs="Times New Roman"/>
          <w:sz w:val="22"/>
        </w:rPr>
      </w:pPr>
      <w:r w:rsidRPr="004A2D99">
        <w:rPr>
          <w:rFonts w:ascii="Times New Roman" w:hAnsi="Times New Roman" w:cs="Times New Roman"/>
          <w:sz w:val="22"/>
        </w:rPr>
        <w:tab/>
      </w:r>
    </w:p>
    <w:p w:rsidR="00CF4CCE" w:rsidRPr="004A2D99" w:rsidRDefault="00CF4CCE">
      <w:pPr>
        <w:rPr>
          <w:rFonts w:ascii="Times New Roman" w:hAnsi="Times New Roman" w:cs="Times New Roman"/>
        </w:rPr>
      </w:pPr>
    </w:p>
    <w:sectPr w:rsidR="00CF4CCE" w:rsidRPr="004A2D99" w:rsidSect="00431D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59" w:rsidRDefault="00430359">
      <w:r>
        <w:separator/>
      </w:r>
    </w:p>
  </w:endnote>
  <w:endnote w:type="continuationSeparator" w:id="0">
    <w:p w:rsidR="00430359" w:rsidRDefault="0043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53691"/>
      <w:docPartObj>
        <w:docPartGallery w:val="Page Numbers (Bottom of Page)"/>
        <w:docPartUnique/>
      </w:docPartObj>
    </w:sdtPr>
    <w:sdtEndPr/>
    <w:sdtContent>
      <w:p w:rsidR="00A71739" w:rsidRDefault="00155CE8">
        <w:pPr>
          <w:pStyle w:val="Stopka"/>
          <w:jc w:val="center"/>
        </w:pPr>
        <w:r>
          <w:fldChar w:fldCharType="begin"/>
        </w:r>
        <w:r w:rsidR="000A388B">
          <w:instrText>PAGE   \* MERGEFORMAT</w:instrText>
        </w:r>
        <w:r>
          <w:fldChar w:fldCharType="separate"/>
        </w:r>
        <w:r w:rsidR="00882B4A">
          <w:rPr>
            <w:noProof/>
          </w:rPr>
          <w:t>4</w:t>
        </w:r>
        <w:r>
          <w:fldChar w:fldCharType="end"/>
        </w:r>
      </w:p>
    </w:sdtContent>
  </w:sdt>
  <w:p w:rsidR="00A71739" w:rsidRDefault="00430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59" w:rsidRDefault="00430359">
      <w:r>
        <w:separator/>
      </w:r>
    </w:p>
  </w:footnote>
  <w:footnote w:type="continuationSeparator" w:id="0">
    <w:p w:rsidR="00430359" w:rsidRDefault="0043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7BB"/>
    <w:multiLevelType w:val="hybridMultilevel"/>
    <w:tmpl w:val="70DAF778"/>
    <w:lvl w:ilvl="0" w:tplc="7508351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D"/>
    <w:rsid w:val="000A388B"/>
    <w:rsid w:val="000A5B24"/>
    <w:rsid w:val="000B71E3"/>
    <w:rsid w:val="000C0AB6"/>
    <w:rsid w:val="00155CE8"/>
    <w:rsid w:val="001E1A4C"/>
    <w:rsid w:val="001F3B72"/>
    <w:rsid w:val="003043C7"/>
    <w:rsid w:val="0032539E"/>
    <w:rsid w:val="00326AAC"/>
    <w:rsid w:val="003F319F"/>
    <w:rsid w:val="00430359"/>
    <w:rsid w:val="00431DCC"/>
    <w:rsid w:val="004A2D99"/>
    <w:rsid w:val="004F6879"/>
    <w:rsid w:val="005B3DB6"/>
    <w:rsid w:val="005B641E"/>
    <w:rsid w:val="005D1284"/>
    <w:rsid w:val="00620220"/>
    <w:rsid w:val="00791631"/>
    <w:rsid w:val="00806333"/>
    <w:rsid w:val="00882B4A"/>
    <w:rsid w:val="00953138"/>
    <w:rsid w:val="00973577"/>
    <w:rsid w:val="00A8556D"/>
    <w:rsid w:val="00B91AD4"/>
    <w:rsid w:val="00CF4CCE"/>
    <w:rsid w:val="00D05984"/>
    <w:rsid w:val="00DF371B"/>
    <w:rsid w:val="00E60840"/>
    <w:rsid w:val="00E611B4"/>
    <w:rsid w:val="00E96DAA"/>
    <w:rsid w:val="00F56DCE"/>
    <w:rsid w:val="00FC0D9D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6D"/>
  </w:style>
  <w:style w:type="paragraph" w:styleId="Tekstdymka">
    <w:name w:val="Balloon Text"/>
    <w:basedOn w:val="Normalny"/>
    <w:link w:val="TekstdymkaZnak"/>
    <w:uiPriority w:val="99"/>
    <w:semiHidden/>
    <w:unhideWhenUsed/>
    <w:rsid w:val="00326A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6D"/>
  </w:style>
  <w:style w:type="paragraph" w:styleId="Tekstdymka">
    <w:name w:val="Balloon Text"/>
    <w:basedOn w:val="Normalny"/>
    <w:link w:val="TekstdymkaZnak"/>
    <w:uiPriority w:val="99"/>
    <w:semiHidden/>
    <w:unhideWhenUsed/>
    <w:rsid w:val="00326A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2413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Kwiatkowska</dc:creator>
  <cp:lastModifiedBy>Katarzyna Jastrzębska</cp:lastModifiedBy>
  <cp:revision>7</cp:revision>
  <cp:lastPrinted>2016-11-07T08:05:00Z</cp:lastPrinted>
  <dcterms:created xsi:type="dcterms:W3CDTF">2016-11-04T14:25:00Z</dcterms:created>
  <dcterms:modified xsi:type="dcterms:W3CDTF">2016-11-07T09:36:00Z</dcterms:modified>
</cp:coreProperties>
</file>